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国际金融（一）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10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International FinancialⅠ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FIAB2004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金融学专业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王光伟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《国际金融》（苏州大学出版社2022）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</w:t>
      </w:r>
      <w:r>
        <w:rPr>
          <w:rFonts w:hint="eastAsia" w:ascii="黑体" w:hAnsi="黑体" w:eastAsia="黑体" w:cs="宋体"/>
          <w:b/>
          <w:sz w:val="28"/>
          <w:szCs w:val="28"/>
          <w:lang w:eastAsia="zh-CN"/>
        </w:rPr>
        <w:t>课程目标</w:t>
      </w:r>
      <w:bookmarkStart w:id="1" w:name="_GoBack"/>
      <w:bookmarkEnd w:id="1"/>
    </w:p>
    <w:p>
      <w:pPr>
        <w:pStyle w:val="3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这是国际金融学的本科</w:t>
      </w:r>
      <w:r>
        <w:rPr>
          <w:rFonts w:hint="eastAsia" w:hAnsi="宋体" w:cs="宋体"/>
          <w:lang w:eastAsia="zh-CN"/>
        </w:rPr>
        <w:t>课程，本课程旨在让学生</w:t>
      </w:r>
      <w:r>
        <w:rPr>
          <w:rFonts w:hint="eastAsia" w:hAnsi="宋体" w:cs="宋体"/>
          <w:lang w:val="en-US" w:eastAsia="zh-CN"/>
        </w:rPr>
        <w:t>系统了解该学科</w:t>
      </w:r>
      <w:r>
        <w:rPr>
          <w:rFonts w:hint="eastAsia" w:hAnsi="宋体" w:cs="宋体"/>
          <w:lang w:eastAsia="zh-CN"/>
        </w:rPr>
        <w:t>的基础理论，</w:t>
      </w:r>
      <w:r>
        <w:rPr>
          <w:rFonts w:hint="eastAsia" w:hAnsi="宋体" w:cs="宋体"/>
          <w:lang w:val="en-US" w:eastAsia="zh-CN"/>
        </w:rPr>
        <w:t>掌握实物性和金融性资金跨境流动的各种场景、及其对世界经济和国别经济的影响</w:t>
      </w:r>
      <w:r>
        <w:rPr>
          <w:rFonts w:hint="eastAsia" w:hAnsi="宋体" w:cs="宋体"/>
          <w:lang w:eastAsia="zh-CN"/>
        </w:rPr>
        <w:t>，掌握并运用各个研究流程中的具体方法和技能，提高研究能力、研究素养和专业认同感，为</w:t>
      </w:r>
      <w:r>
        <w:rPr>
          <w:rFonts w:hint="eastAsia" w:hAnsi="宋体" w:cs="宋体"/>
          <w:lang w:val="en-US" w:eastAsia="zh-CN"/>
        </w:rPr>
        <w:t>相关方面的</w:t>
      </w:r>
      <w:r>
        <w:rPr>
          <w:rFonts w:hint="eastAsia" w:hAnsi="宋体" w:cs="宋体"/>
          <w:lang w:eastAsia="zh-CN"/>
        </w:rPr>
        <w:t>研究</w:t>
      </w:r>
      <w:r>
        <w:rPr>
          <w:rFonts w:hint="eastAsia" w:hAnsi="宋体" w:cs="宋体"/>
          <w:lang w:val="en-US" w:eastAsia="zh-CN"/>
        </w:rPr>
        <w:t>和</w:t>
      </w:r>
      <w:r>
        <w:rPr>
          <w:rFonts w:hint="eastAsia" w:hAnsi="宋体" w:cs="宋体"/>
          <w:lang w:eastAsia="zh-CN"/>
        </w:rPr>
        <w:t>实践奠定基础，</w:t>
      </w:r>
      <w:r>
        <w:rPr>
          <w:rFonts w:hint="eastAsia" w:hAnsi="宋体" w:cs="宋体"/>
          <w:lang w:val="en-US" w:eastAsia="zh-CN"/>
        </w:rPr>
        <w:t>提高</w:t>
      </w:r>
      <w:r>
        <w:rPr>
          <w:rFonts w:hint="eastAsia" w:hAnsi="宋体" w:cs="宋体"/>
          <w:lang w:eastAsia="zh-CN"/>
        </w:rPr>
        <w:t>学生的社会责任感和践行社会主义核心价值观的能力。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rPr>
          <w:rFonts w:hint="eastAsia" w:hAnsi="宋体" w:cs="宋体"/>
          <w:b/>
        </w:rPr>
      </w:pPr>
      <w:r>
        <w:rPr>
          <w:rFonts w:hint="eastAsia" w:hAnsi="宋体" w:cs="宋体"/>
          <w:b/>
          <w:lang w:val="en-US" w:eastAsia="zh-CN"/>
        </w:rPr>
        <w:t xml:space="preserve">      </w:t>
      </w: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ind w:left="420" w:leftChars="0" w:firstLine="420" w:firstLineChars="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金融</w:t>
      </w:r>
      <w:r>
        <w:rPr>
          <w:rFonts w:hint="eastAsia" w:hAnsi="宋体" w:cs="宋体"/>
          <w:b/>
          <w:lang w:eastAsia="zh-CN"/>
        </w:rPr>
        <w:t>科学研究的特征、流程和研究方法，理解</w:t>
      </w:r>
      <w:r>
        <w:rPr>
          <w:rFonts w:hint="eastAsia" w:hAnsi="宋体" w:cs="宋体"/>
          <w:b/>
          <w:lang w:val="en-US" w:eastAsia="zh-CN"/>
        </w:rPr>
        <w:t>金融</w:t>
      </w:r>
      <w:r>
        <w:rPr>
          <w:rFonts w:hint="eastAsia" w:hAnsi="宋体" w:cs="宋体"/>
          <w:b/>
          <w:lang w:eastAsia="zh-CN"/>
        </w:rPr>
        <w:t>科学研究的本质、流程、研究方法的种类。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科学的本质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熟悉</w:t>
      </w:r>
      <w:r>
        <w:rPr>
          <w:rFonts w:hint="eastAsia" w:hAnsi="宋体" w:cs="宋体"/>
          <w:lang w:val="en-US" w:eastAsia="zh-CN"/>
        </w:rPr>
        <w:t>国际金融科学研究的流程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3系统了解国际金融的理论和</w:t>
      </w:r>
      <w:r>
        <w:rPr>
          <w:rFonts w:hint="eastAsia" w:hAnsi="宋体" w:cs="宋体"/>
          <w:lang w:eastAsia="zh-CN"/>
        </w:rPr>
        <w:t>方法</w:t>
      </w:r>
      <w:r>
        <w:rPr>
          <w:rFonts w:hint="eastAsia" w:hAnsi="宋体" w:cs="宋体"/>
          <w:lang w:val="en-US" w:eastAsia="zh-CN"/>
        </w:rPr>
        <w:t xml:space="preserve">在真实经济过程里的重要作用 </w:t>
      </w: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2</w:t>
      </w:r>
      <w:r>
        <w:rPr>
          <w:rFonts w:hint="eastAsia" w:hAnsi="宋体" w:cs="宋体"/>
          <w:b/>
        </w:rPr>
        <w:t>：</w:t>
      </w:r>
    </w:p>
    <w:p>
      <w:pPr>
        <w:pStyle w:val="3"/>
        <w:spacing w:before="156" w:beforeLines="50" w:after="156" w:afterLines="50"/>
        <w:ind w:left="420" w:leftChars="0"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国际金融理论</w:t>
      </w:r>
      <w:r>
        <w:rPr>
          <w:rFonts w:hint="eastAsia" w:hAnsi="宋体" w:cs="宋体"/>
          <w:b/>
          <w:lang w:eastAsia="zh-CN"/>
        </w:rPr>
        <w:t>，记忆并理解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b/>
          <w:lang w:eastAsia="zh-CN"/>
        </w:rPr>
        <w:t>的</w:t>
      </w:r>
      <w:r>
        <w:rPr>
          <w:rFonts w:hint="eastAsia" w:hAnsi="宋体" w:cs="宋体"/>
          <w:b/>
          <w:lang w:val="en-US" w:eastAsia="zh-CN"/>
        </w:rPr>
        <w:t>重要概念</w:t>
      </w:r>
      <w:r>
        <w:rPr>
          <w:rFonts w:hint="eastAsia" w:hAnsi="宋体" w:cs="宋体"/>
          <w:b/>
          <w:lang w:eastAsia="zh-CN"/>
        </w:rPr>
        <w:t>、</w:t>
      </w:r>
      <w:r>
        <w:rPr>
          <w:rFonts w:hint="eastAsia" w:hAnsi="宋体" w:cs="宋体"/>
          <w:b/>
          <w:lang w:val="en-US" w:eastAsia="zh-CN"/>
        </w:rPr>
        <w:t>国际经济体的主要</w:t>
      </w:r>
      <w:r>
        <w:rPr>
          <w:rFonts w:hint="eastAsia" w:hAnsi="宋体" w:cs="宋体"/>
          <w:b/>
          <w:lang w:eastAsia="zh-CN"/>
        </w:rPr>
        <w:t>类型、</w:t>
      </w:r>
      <w:r>
        <w:rPr>
          <w:rFonts w:hint="eastAsia" w:hAnsi="宋体" w:cs="宋体"/>
          <w:b/>
          <w:lang w:val="en-US" w:eastAsia="zh-CN"/>
        </w:rPr>
        <w:t>国际金融活动的</w:t>
      </w:r>
      <w:r>
        <w:rPr>
          <w:rFonts w:hint="eastAsia" w:hAnsi="宋体" w:cs="宋体"/>
          <w:b/>
          <w:lang w:eastAsia="zh-CN"/>
        </w:rPr>
        <w:t>价值与伦理，培养学生的</w:t>
      </w:r>
      <w:r>
        <w:rPr>
          <w:rFonts w:hint="eastAsia" w:hAnsi="宋体" w:cs="宋体"/>
          <w:b/>
          <w:lang w:val="en-US" w:eastAsia="zh-CN"/>
        </w:rPr>
        <w:t>国家视觉、全球视觉以及“命运共同体”</w:t>
      </w:r>
      <w:r>
        <w:rPr>
          <w:rFonts w:hint="eastAsia" w:hAnsi="宋体" w:cs="宋体"/>
          <w:b/>
          <w:lang w:eastAsia="zh-CN"/>
        </w:rPr>
        <w:t>责任感和践行社会主义核心价值观的能力。</w:t>
      </w:r>
    </w:p>
    <w:p>
      <w:pPr>
        <w:pStyle w:val="3"/>
        <w:spacing w:before="156" w:beforeLines="50" w:after="156" w:afterLines="50"/>
        <w:ind w:left="420" w:leftChars="0" w:firstLine="420" w:firstLineChars="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eastAsia="zh-CN"/>
        </w:rPr>
        <w:t>记忆并理解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的</w:t>
      </w:r>
      <w:r>
        <w:rPr>
          <w:rFonts w:hint="eastAsia" w:hAnsi="宋体" w:cs="宋体"/>
          <w:lang w:val="en-US" w:eastAsia="zh-CN"/>
        </w:rPr>
        <w:t>基本理论体系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记忆并理解</w:t>
      </w:r>
      <w:r>
        <w:rPr>
          <w:rFonts w:hint="eastAsia" w:hAnsi="宋体" w:cs="宋体"/>
          <w:b/>
          <w:lang w:val="en-US" w:eastAsia="zh-CN"/>
        </w:rPr>
        <w:t>国际金融理论与政策中蕴含的</w:t>
      </w:r>
      <w:r>
        <w:rPr>
          <w:rFonts w:hint="eastAsia" w:hAnsi="宋体" w:cs="宋体"/>
          <w:lang w:eastAsia="zh-CN"/>
        </w:rPr>
        <w:t>价值与伦理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cs="宋体"/>
          <w:b/>
        </w:rPr>
      </w:pPr>
      <w:r>
        <w:rPr>
          <w:rFonts w:hint="eastAsia" w:hAnsi="宋体" w:cs="宋体"/>
          <w:b/>
        </w:rPr>
        <w:t>课程目标3：</w:t>
      </w: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bCs/>
          <w:lang w:val="en-US"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国际金融里的</w:t>
      </w:r>
      <w:r>
        <w:rPr>
          <w:rFonts w:hint="eastAsia" w:hAnsi="宋体" w:cs="宋体"/>
          <w:b/>
          <w:lang w:eastAsia="zh-CN"/>
        </w:rPr>
        <w:t>具体理论和方法，</w:t>
      </w:r>
      <w:r>
        <w:rPr>
          <w:rFonts w:hint="eastAsia" w:hAnsi="宋体" w:cs="宋体"/>
          <w:b/>
          <w:bCs/>
          <w:lang w:eastAsia="zh-CN"/>
        </w:rPr>
        <w:t>提高学生的研究能力、研究素养和专业认同感，为学生组织管理研究实践奠定基础。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每一个具体</w:t>
      </w:r>
      <w:r>
        <w:rPr>
          <w:rFonts w:hint="eastAsia" w:hAnsi="宋体" w:cs="宋体"/>
          <w:lang w:val="en-US" w:eastAsia="zh-CN"/>
        </w:rPr>
        <w:t>理论</w:t>
      </w:r>
      <w:r>
        <w:rPr>
          <w:rFonts w:hint="eastAsia" w:hAnsi="宋体" w:cs="宋体"/>
          <w:lang w:eastAsia="zh-CN"/>
        </w:rPr>
        <w:t>中的关键知识点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  <w:lang w:eastAsia="zh-CN"/>
        </w:rPr>
        <w:t>掌握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每一个具体</w:t>
      </w:r>
      <w:r>
        <w:rPr>
          <w:rFonts w:hint="eastAsia" w:hAnsi="宋体" w:cs="宋体"/>
          <w:lang w:val="en-US" w:eastAsia="zh-CN"/>
        </w:rPr>
        <w:t>理论与政策应用</w:t>
      </w:r>
      <w:r>
        <w:rPr>
          <w:rFonts w:hint="eastAsia" w:hAnsi="宋体" w:cs="宋体"/>
          <w:lang w:eastAsia="zh-CN"/>
        </w:rPr>
        <w:t>的基本</w:t>
      </w:r>
      <w:r>
        <w:rPr>
          <w:rFonts w:hint="eastAsia" w:hAnsi="宋体" w:cs="宋体"/>
          <w:lang w:val="en-US" w:eastAsia="zh-CN"/>
        </w:rPr>
        <w:t>场景</w:t>
      </w:r>
      <w:r>
        <w:rPr>
          <w:rFonts w:hint="eastAsia" w:hAnsi="宋体" w:cs="宋体"/>
          <w:lang w:eastAsia="zh-CN"/>
        </w:rPr>
        <w:t>和</w:t>
      </w:r>
      <w:r>
        <w:rPr>
          <w:rFonts w:hint="eastAsia" w:hAnsi="宋体" w:cs="宋体"/>
          <w:lang w:val="en-US" w:eastAsia="zh-CN"/>
        </w:rPr>
        <w:t>应用效果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课程目标与毕业要求、课程内容的对应关系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10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17"/>
        <w:gridCol w:w="3460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科学研究的特征：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在第1章到第17章中均涉及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b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科学研究的流程：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在第1章到第17章中均涉及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3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科学研究方法的种类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ascii="黑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研究内涵和类型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的价值和伦理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为人民幸福和国家富强而奋斗的志向和责任感；</w:t>
            </w: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团结协作和务实创新的品质；</w:t>
            </w: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良好的思想品德、社会公德和为人民服务的职业道德。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选题、文献综述、研究设计、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我国和主要国际经济金融机构的数据来源、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 xml:space="preserve">掌握文献检索、资料查询的基本方法 ,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问卷调查法、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模型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设计、定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量及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定性数据分析、研究报告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和论文的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撰写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 xml:space="preserve">掌握文献检索、资料查询的基本方法 ,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</w:tbl>
    <w:p>
      <w:pPr>
        <w:widowControl/>
        <w:numPr>
          <w:ilvl w:val="0"/>
          <w:numId w:val="2"/>
        </w:numPr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教学内容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lang w:val="en-US" w:eastAsia="zh-CN"/>
        </w:rPr>
        <w:t xml:space="preserve">以是教学内容大纲。括号里的内容体现了思政、可持续......等要求   </w:t>
      </w:r>
    </w:p>
    <w:p>
      <w:pPr>
        <w:pStyle w:val="17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第一周      </w:t>
      </w:r>
      <w:r>
        <w:rPr>
          <w:rFonts w:hint="eastAsia"/>
          <w:szCs w:val="21"/>
          <w:lang w:eastAsia="zh-CN"/>
        </w:rPr>
        <w:t>货币制度与汇率制度（中国的改革发展中借鉴了什么？）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第二周      </w:t>
      </w:r>
      <w:r>
        <w:rPr>
          <w:rFonts w:hint="eastAsia"/>
          <w:szCs w:val="21"/>
          <w:lang w:eastAsia="zh-CN"/>
        </w:rPr>
        <w:t>国际收支概念与国际收支平衡表结构</w:t>
      </w:r>
    </w:p>
    <w:p>
      <w:pPr>
        <w:pStyle w:val="17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>大讨论：美元主导的国际货币秩序及人民币国际化</w:t>
      </w:r>
    </w:p>
    <w:p>
      <w:pPr>
        <w:pStyle w:val="17"/>
        <w:rPr>
          <w:rFonts w:hint="default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第三周      </w:t>
      </w:r>
      <w:r>
        <w:rPr>
          <w:rFonts w:hint="eastAsia"/>
          <w:szCs w:val="21"/>
          <w:lang w:eastAsia="zh-CN"/>
        </w:rPr>
        <w:t>内外均衡：原则、关系与政策（中国的内部均衡特点？）</w:t>
      </w:r>
    </w:p>
    <w:p>
      <w:pPr>
        <w:pStyle w:val="17"/>
        <w:rPr>
          <w:rFonts w:hint="default" w:ascii="Times New Roman" w:hAnsi="Times New Roman"/>
          <w:b w:val="0"/>
          <w:bCs/>
          <w:color w:val="0000FF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第四</w:t>
      </w:r>
      <w:r>
        <w:rPr>
          <w:rFonts w:hint="eastAsia" w:ascii="Times New Roman" w:hAnsi="Times New Roman"/>
          <w:b w:val="0"/>
          <w:bCs/>
          <w:color w:val="0000FF"/>
          <w:lang w:val="en-US" w:eastAsia="zh-CN"/>
        </w:rPr>
        <w:t xml:space="preserve">周      </w:t>
      </w:r>
      <w:r>
        <w:rPr>
          <w:rFonts w:hint="eastAsia"/>
          <w:b w:val="0"/>
          <w:bCs/>
          <w:color w:val="0000FF"/>
          <w:szCs w:val="21"/>
          <w:lang w:eastAsia="zh-CN"/>
        </w:rPr>
        <w:t>乘数论、吸收论、货币论与结构论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第五周      微观</w:t>
      </w:r>
      <w:r>
        <w:rPr>
          <w:rFonts w:hint="eastAsia"/>
          <w:spacing w:val="-4"/>
          <w:szCs w:val="21"/>
          <w:lang w:eastAsia="zh-CN"/>
        </w:rPr>
        <w:t>弹性分析：马歇尔</w:t>
      </w:r>
      <w:r>
        <w:rPr>
          <w:rFonts w:hint="eastAsia"/>
          <w:spacing w:val="-4"/>
          <w:szCs w:val="21"/>
          <w:lang w:val="en-US" w:eastAsia="zh-CN"/>
        </w:rPr>
        <w:t>-勒纳条件、贸易条件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第六周      </w:t>
      </w:r>
      <w:r>
        <w:rPr>
          <w:rFonts w:hint="eastAsia"/>
          <w:szCs w:val="21"/>
          <w:lang w:eastAsia="zh-CN"/>
        </w:rPr>
        <w:t>购买力平价及货币模型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第七周      </w:t>
      </w:r>
      <w:r>
        <w:rPr>
          <w:rFonts w:hint="eastAsia"/>
          <w:spacing w:val="-4"/>
          <w:szCs w:val="21"/>
          <w:lang w:val="en-US" w:eastAsia="zh-CN"/>
        </w:rPr>
        <w:t>利率平价理论</w:t>
      </w:r>
      <w:r>
        <w:rPr>
          <w:rFonts w:hint="eastAsia" w:ascii="Times New Roman" w:hAnsi="Times New Roman"/>
          <w:lang w:val="en-US" w:eastAsia="zh-CN"/>
        </w:rPr>
        <w:t xml:space="preserve">           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第八周     </w:t>
      </w:r>
      <w:r>
        <w:rPr>
          <w:rFonts w:hint="eastAsia"/>
          <w:szCs w:val="21"/>
          <w:lang w:val="en-US" w:eastAsia="zh-CN"/>
        </w:rPr>
        <w:t>蒙代尔--弗莱明模型</w:t>
      </w:r>
      <w:r>
        <w:rPr>
          <w:rFonts w:hint="eastAsia" w:ascii="Times New Roman" w:hAnsi="Times New Roman"/>
          <w:lang w:val="en-US" w:eastAsia="zh-CN"/>
        </w:rPr>
        <w:t xml:space="preserve">                                   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第九周      </w:t>
      </w:r>
      <w:r>
        <w:rPr>
          <w:rFonts w:hint="eastAsia"/>
          <w:szCs w:val="21"/>
          <w:lang w:val="en-US" w:eastAsia="zh-CN"/>
        </w:rPr>
        <w:t>汇率超调理论（中国的要素市场有表现吗？）</w:t>
      </w:r>
      <w:r>
        <w:rPr>
          <w:rFonts w:hint="eastAsia" w:ascii="Times New Roman" w:hAnsi="Times New Roman"/>
          <w:lang w:val="en-US" w:eastAsia="zh-CN"/>
        </w:rPr>
        <w:t xml:space="preserve">      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第十周       </w:t>
      </w:r>
      <w:r>
        <w:rPr>
          <w:rFonts w:hint="eastAsia"/>
          <w:szCs w:val="21"/>
          <w:lang w:eastAsia="zh-CN"/>
        </w:rPr>
        <w:t>资产组合模型的分析</w:t>
      </w:r>
      <w:r>
        <w:rPr>
          <w:rFonts w:hint="eastAsia" w:ascii="Times New Roman" w:hAnsi="Times New Roman"/>
          <w:lang w:val="en-US" w:eastAsia="zh-CN"/>
        </w:rPr>
        <w:t xml:space="preserve">                                   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第11周      政府对外汇市场的干预与管制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第12周      </w:t>
      </w:r>
      <w:r>
        <w:rPr>
          <w:rFonts w:hint="eastAsia"/>
          <w:szCs w:val="21"/>
          <w:lang w:val="en-US" w:eastAsia="zh-CN"/>
        </w:rPr>
        <w:t>国际储备（新形势对中国的储备提出什么要求？）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第13周      </w:t>
      </w:r>
      <w:r>
        <w:rPr>
          <w:rFonts w:hint="eastAsia"/>
          <w:szCs w:val="21"/>
          <w:lang w:eastAsia="zh-CN"/>
        </w:rPr>
        <w:t>国际金融市场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第14周      </w:t>
      </w:r>
      <w:r>
        <w:rPr>
          <w:rFonts w:hint="eastAsia"/>
          <w:szCs w:val="21"/>
          <w:lang w:eastAsia="zh-CN"/>
        </w:rPr>
        <w:t>国际金融市场创新</w:t>
      </w:r>
    </w:p>
    <w:p>
      <w:pPr>
        <w:pStyle w:val="17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第15周      </w:t>
      </w:r>
      <w:r>
        <w:rPr>
          <w:rFonts w:hint="eastAsia"/>
          <w:szCs w:val="21"/>
          <w:lang w:eastAsia="zh-CN"/>
        </w:rPr>
        <w:t>汇率崩溃</w:t>
      </w:r>
      <w:r>
        <w:rPr>
          <w:rFonts w:hint="eastAsia"/>
          <w:szCs w:val="21"/>
          <w:lang w:val="en-US" w:eastAsia="zh-CN"/>
        </w:rPr>
        <w:t>----货币危机分析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 xml:space="preserve">                  （</w:t>
      </w:r>
      <w:r>
        <w:rPr>
          <w:rFonts w:hint="eastAsia"/>
          <w:szCs w:val="21"/>
          <w:lang w:eastAsia="zh-CN"/>
        </w:rPr>
        <w:t>案例、现实与警示</w:t>
      </w:r>
      <w:r>
        <w:rPr>
          <w:rFonts w:hint="eastAsia"/>
          <w:szCs w:val="21"/>
          <w:lang w:val="en-US" w:eastAsia="zh-CN"/>
        </w:rPr>
        <w:t>）</w:t>
      </w:r>
    </w:p>
    <w:p>
      <w:pPr>
        <w:pStyle w:val="17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 xml:space="preserve">          （不同国家地区面临危机时的应对）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四、五、 </w:t>
      </w:r>
      <w:r>
        <w:rPr>
          <w:rFonts w:hint="eastAsia" w:ascii="黑体" w:hAnsi="黑体" w:eastAsia="黑体"/>
          <w:b/>
          <w:sz w:val="28"/>
          <w:szCs w:val="28"/>
        </w:rPr>
        <w:t>学时分配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与</w:t>
      </w:r>
      <w:r>
        <w:rPr>
          <w:rFonts w:hint="eastAsia" w:ascii="黑体" w:hAnsi="黑体" w:eastAsia="黑体"/>
          <w:b/>
          <w:sz w:val="28"/>
          <w:szCs w:val="28"/>
        </w:rPr>
        <w:t>教学进度</w:t>
      </w:r>
    </w:p>
    <w:p>
      <w:pPr>
        <w:ind w:firstLine="720" w:firstLine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教学进度表</w:t>
      </w:r>
    </w:p>
    <w:tbl>
      <w:tblPr>
        <w:tblStyle w:val="10"/>
        <w:tblW w:w="8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8"/>
        <w:gridCol w:w="729"/>
        <w:gridCol w:w="6"/>
        <w:gridCol w:w="2993"/>
        <w:gridCol w:w="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周次</w:t>
            </w: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教学内容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</w:t>
            </w:r>
          </w:p>
        </w:tc>
        <w:tc>
          <w:tcPr>
            <w:tcW w:w="29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目的要求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 xml:space="preserve"> 汇率与国际收支失衡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每周课时3</w:t>
            </w: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汇率的各种形态、国际收支失衡的各种层次和原因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丁伯根原则和蒙代尔法则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为什么达到内外均衡是可能的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国际收支失衡宏观调节理论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乘数论、吸收论、货币论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国际收支失衡的弹性系列分析模型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马歇尔-勒纳理论；比肯代克-罗宾逊-梅兹勒理论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一价定律、购买力平价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可贸易商品与汇率形成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汇率决定的货币模型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长期中汇率决定的因素分解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汇率决定的利率平价模型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短期汇率决定与资本账户资金流动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蒙代尔-佛莱明模型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短期静态下一般均衡的汇率决定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资产组合模型与汇率超调模型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非静态下的汇率决定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金融危机理论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第一、第二、第三代货币危机理论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亚洲金融危机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原因、爆发与后果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美国次贷危机、欧洲债务危机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衍生金融工具对实体经济的影响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人民币国际化问题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条件、动因、实施路径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国际金融市场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沿革、结构、状态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中国“一带一路”战略的经济与金融思考</w:t>
            </w:r>
          </w:p>
        </w:tc>
        <w:tc>
          <w:tcPr>
            <w:tcW w:w="729" w:type="dxa"/>
            <w:vAlign w:val="top"/>
          </w:tcPr>
          <w:p>
            <w:pP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国际经济金融的世纪变革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停课</w:t>
            </w:r>
            <w:r>
              <w:rPr>
                <w:rFonts w:hint="eastAsia" w:ascii="宋体" w:hAnsi="宋体" w:eastAsia="宋体"/>
                <w:lang w:val="en-US" w:eastAsia="zh-CN"/>
              </w:rPr>
              <w:t>复习</w:t>
            </w:r>
            <w:r>
              <w:rPr>
                <w:rFonts w:hint="eastAsia" w:ascii="宋体" w:hAnsi="宋体"/>
              </w:rPr>
              <w:t>考试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停课</w:t>
            </w:r>
            <w:r>
              <w:rPr>
                <w:rFonts w:hint="eastAsia" w:ascii="宋体" w:hAnsi="宋体" w:eastAsia="宋体"/>
                <w:lang w:val="en-US" w:eastAsia="zh-CN"/>
              </w:rPr>
              <w:t>复习</w:t>
            </w:r>
            <w:r>
              <w:rPr>
                <w:rFonts w:hint="eastAsia" w:ascii="宋体" w:hAnsi="宋体"/>
              </w:rPr>
              <w:t>考试</w:t>
            </w:r>
          </w:p>
        </w:tc>
        <w:tc>
          <w:tcPr>
            <w:tcW w:w="735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六</w:t>
      </w:r>
      <w:r>
        <w:rPr>
          <w:rFonts w:hint="eastAsia" w:ascii="黑体" w:hAnsi="黑体" w:eastAsia="黑体"/>
          <w:b/>
          <w:sz w:val="28"/>
          <w:szCs w:val="28"/>
        </w:rPr>
        <w:t>、教材及参考书目</w:t>
      </w:r>
    </w:p>
    <w:p>
      <w:pPr>
        <w:spacing w:line="276" w:lineRule="auto"/>
        <w:ind w:firstLine="630" w:firstLineChars="300"/>
        <w:rPr>
          <w:rFonts w:hint="eastAsia"/>
        </w:rPr>
      </w:pPr>
      <w:r>
        <w:rPr>
          <w:rFonts w:hint="eastAsia"/>
        </w:rPr>
        <w:t xml:space="preserve">Frederic S. Mishkin , </w:t>
      </w:r>
      <w:r>
        <w:rPr>
          <w:rFonts w:hint="eastAsia"/>
          <w:i/>
          <w:iCs/>
        </w:rPr>
        <w:t xml:space="preserve">The Economics of Money, Banking and Financial Markets, </w:t>
      </w:r>
      <w:r>
        <w:rPr>
          <w:rFonts w:hint="eastAsia"/>
        </w:rPr>
        <w:t xml:space="preserve">Forth </w:t>
      </w:r>
      <w:r>
        <w:t>edition</w:t>
      </w:r>
      <w:r>
        <w:rPr>
          <w:rFonts w:hint="eastAsia"/>
        </w:rPr>
        <w:t>, 1995 by Harper Collins College Publishers.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720" w:firstLineChars="0"/>
        <w:jc w:val="left"/>
        <w:rPr>
          <w:rFonts w:hint="default" w:ascii="宋体" w:hAnsi="宋体" w:eastAsia="宋体" w:cs="宋体"/>
          <w:b w:val="0"/>
          <w:bCs w:val="0"/>
          <w:color w:val="323232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"http://search.dangdang.com/?key2=%B1%A3%C2%DE%A1%A4R.%BF%CB%C2%B3%B8%F1%C2%FC&amp;medium=01&amp;category_path=01.00.00.00.00.00" \o "保罗·R.克鲁格曼 茅瑞斯·奥伯斯法尔德"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保罗·R.克鲁格曼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"http://search.dangdang.com/?key2=%C3%A9%C8%F0%CB%B9%A1%A4%B0%C2%B2%AE%CB%B9%B7%A8%B6%FB%B5%C2&amp;medium=01&amp;category_path=01.00.00.00.00.00" \o "保罗·R.克鲁格曼 茅瑞斯·奥伯斯法尔德"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茅瑞斯·奥伯斯法尔德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国际金融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bookmarkStart w:id="0" w:name="P_cbs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"http://search.dangdang.com/?key=&amp;key3=%D6%D0%B9%FA%C8%CB%C3%F1%B4%F3%D1%A7%B3%F6%B0%E6%C9%E7&amp;medium=01&amp;category_path=01.00.00.00.00.00" \o "中国人民大学出版社"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中国人民大学出版社</w:t>
      </w:r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</w:rPr>
        <w:t>2021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"http://search.dangdang.com/?key2=%C2%F5%BF%CB%B6%FB%A1%A4H.%C4%AA%B7%C6%CC%D8&amp;medium=01&amp;category_path=01.00.00.00.00.00"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迈克尔·H.莫菲特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、（美）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"http://search.dangdang.com/?key2=%B0%A2%C9%AA%A1%A4I&amp;medium=01&amp;category_path=01.00.00.00.00.00"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阿瑟·I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国际金融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（原书第5版）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"http://search.dangdang.com/?key3=%BB%FA%D0%B5%B9%A4%D2%B5%B3%F6%B0%E6%C9%E7&amp;medium=01&amp;category_path=01.00.00.00.00.00"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机械工业出版社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2020年.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"http://search.dangdang.com/?key2=%D2%D7%B8%D9&amp;medium=01&amp;category_path=01.00.00.00.00.00"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易纲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"http://search.dangdang.com/?key2=%CE%E2%D3%D0%B2%FD&amp;medium=01&amp;category_path=01.00.00.00.00.00"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吴有昌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 xml:space="preserve">货币银行学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"http://search.dangdang.com/?key3=%B8%F1%D6%C2%B3%F6%B0%E6%C9%E7&amp;medium=01&amp;category_path=01.00.00.00.00.00"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格致出版社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出版时间:2014年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20" w:firstLineChars="0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 xml:space="preserve"> (英)劳伦斯·哈里斯著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梁小民译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货币理论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商务印书馆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2017年5月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戴维. 里维里恩、克里斯. 米尔纳：《国际货币经济学前沿问题》，中国税务出版社2000年。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凯文. 多德、默文. K . 刘易斯：《金融与货币经济学前沿问题》，中国税务出版社2000年。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罗纳德. I . 麦金农：《经济发展中的货币与资本》，上海三联书店1988年。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斯蒂克里茨：《经济学》，中国人民大学出版社1997年。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七</w:t>
      </w:r>
      <w:r>
        <w:rPr>
          <w:rFonts w:hint="eastAsia" w:ascii="黑体" w:hAnsi="黑体" w:eastAsia="黑体"/>
          <w:b/>
          <w:sz w:val="28"/>
          <w:szCs w:val="28"/>
        </w:rPr>
        <w:t xml:space="preserve">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</w:rPr>
        <w:t>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10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both"/>
              <w:rPr>
                <w:rFonts w:hAnsi="宋体"/>
                <w:b/>
              </w:rPr>
            </w:pPr>
            <w:r>
              <w:rPr>
                <w:rFonts w:hint="eastAsia" w:hAnsi="宋体" w:cs="宋体"/>
                <w:b/>
                <w:lang w:eastAsia="zh-CN"/>
              </w:rPr>
              <w:t>理解</w:t>
            </w:r>
            <w:r>
              <w:rPr>
                <w:rFonts w:hint="eastAsia" w:hAnsi="宋体" w:cs="宋体"/>
                <w:b/>
                <w:lang w:val="en-US" w:eastAsia="zh-CN"/>
              </w:rPr>
              <w:t>金融</w:t>
            </w:r>
            <w:r>
              <w:rPr>
                <w:rFonts w:hint="eastAsia" w:hAnsi="宋体" w:cs="宋体"/>
                <w:b/>
                <w:lang w:eastAsia="zh-CN"/>
              </w:rPr>
              <w:t>科学研究的本质、流程、研究方法的种类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Ansi="宋体"/>
                <w:b/>
              </w:rPr>
            </w:pP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价值与伦理，培养学生的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宋体"/>
                <w:b/>
                <w:bCs/>
                <w:lang w:eastAsia="zh-CN"/>
              </w:rPr>
              <w:t>提高学生的研究能力、研究素养和专业认同感，为学生组织管理研究实践奠定基础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程的理论和方法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为上百人的大班“课堂表现”无法兼顾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，期中考试</w:t>
      </w:r>
      <w:r>
        <w:rPr>
          <w:rFonts w:hint="eastAsia" w:ascii="宋体" w:hAnsi="宋体" w:eastAsia="宋体"/>
          <w:lang w:val="en-US" w:eastAsia="zh-CN"/>
        </w:rPr>
        <w:t>35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55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论文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10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达成度={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ｘ平时分目标成绩+0.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ｘ期中分目标成绩 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10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非常全面、准确地掌握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特征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的区分较为准确，但不够全面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特征并区分不同研究方法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并区分不同研究方法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非常准确、深入地理解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具备很好的国家视觉、全球视觉以及“命运共同体”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比较准确、深入地理解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具备较好的国家视觉、全球视觉以及“命运共同体”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对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价值与伦理有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比较清楚的理解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hAns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非常全面、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深厚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的研究能力、研究素养和专业认同感、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掌握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组织管理研究实践的基础理论和方法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具有比较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全面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的研究能力、研究素养和专业认同感、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掌握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组织管理研究实践的基础理论和方法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研究能力、研究素养、专业认同感、组织管理研究的基础理论和方法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基本正确地掌握组织管理研究每一个流程的基本理论与方法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不能正确掌握组织管理研究每一个流程的基本理论与方法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2020703060505090304"/>
    <w:charset w:val="00"/>
    <w:family w:val="roman"/>
    <w:pitch w:val="default"/>
    <w:sig w:usb0="00000000" w:usb1="00000000" w:usb2="00000001" w:usb3="00000000" w:csb0="400001BF" w:csb1="DFF7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NzJkYzI1MmMyMmRlMWZhYTA3NTc4Y2FhNGUxYTgifQ=="/>
  </w:docVars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0B7729"/>
    <w:rsid w:val="032D64CB"/>
    <w:rsid w:val="08E94BE9"/>
    <w:rsid w:val="1B373F76"/>
    <w:rsid w:val="1CD4333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5A233DF1"/>
    <w:rsid w:val="5C8608CC"/>
    <w:rsid w:val="68F84CAB"/>
    <w:rsid w:val="6D38040D"/>
    <w:rsid w:val="6D903118"/>
    <w:rsid w:val="709A2664"/>
    <w:rsid w:val="74375AB4"/>
    <w:rsid w:val="7D3E2C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纯文本 字符"/>
    <w:basedOn w:val="8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Session"/>
    <w:basedOn w:val="1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宋体" w:hAnsi="宋体" w:eastAsia="宋体"/>
      <w:b/>
      <w:snapToGrid w:val="0"/>
      <w:color w:val="5B9BD5" w:themeColor="accent1"/>
      <w:u w:val="single"/>
      <w:lang w:val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3389</Words>
  <Characters>3653</Characters>
  <Lines>13</Lines>
  <Paragraphs>3</Paragraphs>
  <ScaleCrop>false</ScaleCrop>
  <LinksUpToDate>false</LinksUpToDate>
  <CharactersWithSpaces>4010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2020-12-08T16:33:00Z</dcterms:created>
  <dc:creator>Windows User</dc:creator>
  <cp:lastModifiedBy>poo</cp:lastModifiedBy>
  <cp:lastPrinted>2020-12-24T15:17:00Z</cp:lastPrinted>
  <dcterms:modified xsi:type="dcterms:W3CDTF">2023-08-21T03:00:17Z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D83160A7F48844F081710E36B197738B_13</vt:lpwstr>
  </property>
</Properties>
</file>